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7CE" w:rsidRDefault="00C257CE" w:rsidP="00C257CE">
      <w:pPr>
        <w:spacing w:line="280" w:lineRule="atLeast"/>
        <w:ind w:firstLine="720"/>
        <w:jc w:val="both"/>
        <w:rPr>
          <w:rFonts w:ascii="Arial" w:hAnsi="Arial" w:cs="Arial"/>
          <w:b/>
        </w:rPr>
      </w:pPr>
      <w:bookmarkStart w:id="0" w:name="_GoBack"/>
      <w:bookmarkEnd w:id="0"/>
    </w:p>
    <w:p w:rsidR="00733682" w:rsidRDefault="00C257CE" w:rsidP="00D14F89">
      <w:pPr>
        <w:spacing w:line="280" w:lineRule="atLeast"/>
        <w:rPr>
          <w:rFonts w:ascii="Arial" w:hAnsi="Arial" w:cs="Arial"/>
          <w:b/>
        </w:rPr>
      </w:pPr>
      <w:r w:rsidRPr="00C257CE">
        <w:rPr>
          <w:rFonts w:ascii="Arial" w:hAnsi="Arial" w:cs="Arial"/>
          <w:b/>
        </w:rPr>
        <w:t>Delivering the new extended free entitlement (EFE)</w:t>
      </w:r>
      <w:r>
        <w:rPr>
          <w:rFonts w:ascii="Arial" w:hAnsi="Arial" w:cs="Arial"/>
          <w:b/>
        </w:rPr>
        <w:t xml:space="preserve"> in partnership: an overview of the legalities</w:t>
      </w:r>
    </w:p>
    <w:p w:rsidR="00733682" w:rsidRPr="00733682" w:rsidRDefault="00C257CE" w:rsidP="00C257CE">
      <w:pPr>
        <w:spacing w:line="28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Working in partnership</w:t>
      </w:r>
    </w:p>
    <w:p w:rsidR="00C257CE" w:rsidRDefault="00C257CE" w:rsidP="00C257CE">
      <w:pPr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A partnership can involv</w:t>
      </w:r>
      <w:r w:rsidR="008A4D3C">
        <w:rPr>
          <w:rFonts w:ascii="Arial" w:hAnsi="Arial" w:cs="Arial"/>
        </w:rPr>
        <w:t>e two or more providers, often</w:t>
      </w:r>
      <w:r>
        <w:rPr>
          <w:rFonts w:ascii="Arial" w:hAnsi="Arial" w:cs="Arial"/>
        </w:rPr>
        <w:t xml:space="preserve"> from different sectors (nursery or primary schools, private, voluntary and independent (PVI) providers, childminders, children’s centres, out of school (OOS) providers, holiday clubs) and in some cases the local authority </w:t>
      </w:r>
      <w:r w:rsidR="008A4D3C">
        <w:rPr>
          <w:rFonts w:ascii="Arial" w:hAnsi="Arial" w:cs="Arial"/>
        </w:rPr>
        <w:t>and/</w:t>
      </w:r>
      <w:r>
        <w:rPr>
          <w:rFonts w:ascii="Arial" w:hAnsi="Arial" w:cs="Arial"/>
        </w:rPr>
        <w:t>or training providers.</w:t>
      </w:r>
    </w:p>
    <w:p w:rsidR="00733682" w:rsidRDefault="00733682" w:rsidP="00C257CE">
      <w:pPr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Working in a partnership enables providers to offer a flexible and tailored service to families</w:t>
      </w:r>
      <w:r w:rsidR="008A4D3C">
        <w:rPr>
          <w:rFonts w:ascii="Arial" w:hAnsi="Arial" w:cs="Arial"/>
        </w:rPr>
        <w:t>.  H</w:t>
      </w:r>
      <w:r>
        <w:rPr>
          <w:rFonts w:ascii="Arial" w:hAnsi="Arial" w:cs="Arial"/>
        </w:rPr>
        <w:t>owever, a successful partnership needs to be planned and managed to deliver effectively over the long term.</w:t>
      </w:r>
    </w:p>
    <w:p w:rsidR="00C257CE" w:rsidRDefault="00C257CE" w:rsidP="00C257CE">
      <w:pPr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hyperlink r:id="rId8" w:history="1">
        <w:r w:rsidR="00804D94" w:rsidRPr="002C391F">
          <w:rPr>
            <w:rStyle w:val="Hyperlink"/>
            <w:rFonts w:ascii="Arial" w:hAnsi="Arial" w:cs="Arial"/>
            <w:b/>
          </w:rPr>
          <w:t>Delivery M</w:t>
        </w:r>
        <w:r w:rsidRPr="002C391F">
          <w:rPr>
            <w:rStyle w:val="Hyperlink"/>
            <w:rFonts w:ascii="Arial" w:hAnsi="Arial" w:cs="Arial"/>
            <w:b/>
          </w:rPr>
          <w:t>odels</w:t>
        </w:r>
      </w:hyperlink>
      <w:r w:rsidRPr="00804D94">
        <w:rPr>
          <w:rFonts w:ascii="Arial" w:hAnsi="Arial" w:cs="Arial"/>
          <w:b/>
          <w:color w:val="0070C0"/>
        </w:rPr>
        <w:t xml:space="preserve"> </w:t>
      </w:r>
      <w:r w:rsidRPr="00804D94">
        <w:rPr>
          <w:rFonts w:ascii="Arial" w:hAnsi="Arial" w:cs="Arial"/>
        </w:rPr>
        <w:t xml:space="preserve">case studies </w:t>
      </w:r>
      <w:r>
        <w:rPr>
          <w:rFonts w:ascii="Arial" w:hAnsi="Arial" w:cs="Arial"/>
        </w:rPr>
        <w:t xml:space="preserve">contained in this toolkit identify a variety of models for working together and collaboration to meet the needs of local families. </w:t>
      </w:r>
      <w:r w:rsidR="008A4D3C">
        <w:rPr>
          <w:rFonts w:ascii="Arial" w:hAnsi="Arial" w:cs="Arial"/>
        </w:rPr>
        <w:t xml:space="preserve"> The </w:t>
      </w:r>
      <w:hyperlink r:id="rId9" w:history="1">
        <w:r w:rsidR="00804D94" w:rsidRPr="008563B3">
          <w:rPr>
            <w:rStyle w:val="Hyperlink"/>
            <w:rFonts w:ascii="Arial" w:hAnsi="Arial" w:cs="Arial"/>
            <w:b/>
          </w:rPr>
          <w:t>R</w:t>
        </w:r>
        <w:r w:rsidR="008A4D3C" w:rsidRPr="008563B3">
          <w:rPr>
            <w:rStyle w:val="Hyperlink"/>
            <w:rFonts w:ascii="Arial" w:hAnsi="Arial" w:cs="Arial"/>
            <w:b/>
          </w:rPr>
          <w:t>elationship</w:t>
        </w:r>
        <w:r w:rsidR="00804D94" w:rsidRPr="008563B3">
          <w:rPr>
            <w:rStyle w:val="Hyperlink"/>
            <w:rFonts w:ascii="Arial" w:hAnsi="Arial" w:cs="Arial"/>
            <w:b/>
          </w:rPr>
          <w:t xml:space="preserve"> M</w:t>
        </w:r>
        <w:r w:rsidR="008A4D3C" w:rsidRPr="008563B3">
          <w:rPr>
            <w:rStyle w:val="Hyperlink"/>
            <w:rFonts w:ascii="Arial" w:hAnsi="Arial" w:cs="Arial"/>
            <w:b/>
          </w:rPr>
          <w:t>anagement section</w:t>
        </w:r>
      </w:hyperlink>
      <w:r w:rsidR="008A4D3C" w:rsidRPr="00804D94">
        <w:rPr>
          <w:rFonts w:ascii="Arial" w:hAnsi="Arial" w:cs="Arial"/>
          <w:color w:val="0070C0"/>
        </w:rPr>
        <w:t xml:space="preserve"> </w:t>
      </w:r>
      <w:r w:rsidR="008A4D3C">
        <w:rPr>
          <w:rFonts w:ascii="Arial" w:hAnsi="Arial" w:cs="Arial"/>
        </w:rPr>
        <w:t>of the toolkit provides a number of tools to help you identify, establish and maintain an effective partnership.</w:t>
      </w:r>
    </w:p>
    <w:p w:rsidR="00C257CE" w:rsidRDefault="00C257CE" w:rsidP="00C257CE">
      <w:pPr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Private sector or charitable providers (including childminders) are able to develop their own services without the need to consider formal </w:t>
      </w:r>
      <w:hyperlink r:id="rId10" w:history="1">
        <w:r w:rsidR="00804D94" w:rsidRPr="002C391F">
          <w:rPr>
            <w:rStyle w:val="Hyperlink"/>
            <w:rFonts w:ascii="Arial" w:hAnsi="Arial" w:cs="Arial"/>
            <w:b/>
          </w:rPr>
          <w:t>P</w:t>
        </w:r>
        <w:r w:rsidRPr="002C391F">
          <w:rPr>
            <w:rStyle w:val="Hyperlink"/>
            <w:rFonts w:ascii="Arial" w:hAnsi="Arial" w:cs="Arial"/>
            <w:b/>
          </w:rPr>
          <w:t>rocurement</w:t>
        </w:r>
      </w:hyperlink>
      <w:r>
        <w:rPr>
          <w:rFonts w:ascii="Arial" w:hAnsi="Arial" w:cs="Arial"/>
        </w:rPr>
        <w:t xml:space="preserve"> processes.  However, the key driver will be the sustainability of the organisation. Careful costing and financial forecasting is needed. Partnership working will enable more rigorous </w:t>
      </w:r>
      <w:hyperlink r:id="rId11" w:history="1">
        <w:r w:rsidR="00804D94" w:rsidRPr="00266721">
          <w:rPr>
            <w:rStyle w:val="Hyperlink"/>
            <w:rFonts w:ascii="Arial" w:hAnsi="Arial" w:cs="Arial"/>
            <w:b/>
          </w:rPr>
          <w:t>Demand A</w:t>
        </w:r>
        <w:r w:rsidRPr="00266721">
          <w:rPr>
            <w:rStyle w:val="Hyperlink"/>
            <w:rFonts w:ascii="Arial" w:hAnsi="Arial" w:cs="Arial"/>
            <w:b/>
          </w:rPr>
          <w:t>ssessment</w:t>
        </w:r>
      </w:hyperlink>
      <w:r w:rsidRPr="00804D94"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</w:rPr>
        <w:t>and collective place planning which will give more certainty for the financial viability of new services.</w:t>
      </w:r>
    </w:p>
    <w:p w:rsidR="00733682" w:rsidRPr="00C257CE" w:rsidRDefault="00C257CE" w:rsidP="00C257CE">
      <w:pPr>
        <w:spacing w:line="280" w:lineRule="atLeast"/>
        <w:jc w:val="both"/>
        <w:rPr>
          <w:rFonts w:ascii="Arial" w:hAnsi="Arial" w:cs="Arial"/>
          <w:b/>
        </w:rPr>
      </w:pPr>
      <w:r w:rsidRPr="00C257CE">
        <w:rPr>
          <w:rFonts w:ascii="Arial" w:hAnsi="Arial" w:cs="Arial"/>
          <w:b/>
        </w:rPr>
        <w:t xml:space="preserve">Effective partnerships </w:t>
      </w:r>
    </w:p>
    <w:p w:rsidR="00733682" w:rsidRDefault="00733682" w:rsidP="00C257CE">
      <w:pPr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Effective partnership working relies on transparency and honesty and any partnership should have a clearly defined set of arrangements. It is also important that the partnership considers the legal and financial implications of any new arrangements entered into.</w:t>
      </w:r>
    </w:p>
    <w:p w:rsidR="00A351D8" w:rsidRDefault="009D1147" w:rsidP="00C257CE">
      <w:pPr>
        <w:spacing w:line="280" w:lineRule="atLeast"/>
        <w:jc w:val="both"/>
      </w:pPr>
      <w:r w:rsidRPr="009B7D1E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B0296E" wp14:editId="1E322A9E">
                <wp:simplePos x="0" y="0"/>
                <wp:positionH relativeFrom="column">
                  <wp:posOffset>219075</wp:posOffset>
                </wp:positionH>
                <wp:positionV relativeFrom="paragraph">
                  <wp:posOffset>1194031</wp:posOffset>
                </wp:positionV>
                <wp:extent cx="5295900" cy="24003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7E3C" w:rsidRPr="009D1147" w:rsidRDefault="00647E3C" w:rsidP="00733682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9D1147">
                              <w:rPr>
                                <w:rFonts w:ascii="Arial" w:hAnsi="Arial" w:cs="Arial"/>
                                <w:b/>
                              </w:rPr>
                              <w:t>Key issues to consider:</w:t>
                            </w:r>
                          </w:p>
                          <w:p w:rsidR="00647E3C" w:rsidRPr="009D1147" w:rsidRDefault="00647E3C" w:rsidP="0073368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9D1147">
                              <w:rPr>
                                <w:rFonts w:ascii="Arial" w:hAnsi="Arial" w:cs="Arial"/>
                              </w:rPr>
                              <w:t>Identifying aims and objectives</w:t>
                            </w:r>
                          </w:p>
                          <w:p w:rsidR="00647E3C" w:rsidRPr="009D1147" w:rsidRDefault="00647E3C" w:rsidP="0073368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9D1147">
                              <w:rPr>
                                <w:rFonts w:ascii="Arial" w:hAnsi="Arial" w:cs="Arial"/>
                              </w:rPr>
                              <w:t>Who is involved and is the partnership open to expansion?</w:t>
                            </w:r>
                          </w:p>
                          <w:p w:rsidR="00647E3C" w:rsidRPr="009D1147" w:rsidRDefault="00647E3C" w:rsidP="0073368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9D1147">
                              <w:rPr>
                                <w:rFonts w:ascii="Arial" w:hAnsi="Arial" w:cs="Arial"/>
                              </w:rPr>
                              <w:t>Is a Lead Partner needed?</w:t>
                            </w:r>
                          </w:p>
                          <w:p w:rsidR="00647E3C" w:rsidRPr="009D1147" w:rsidRDefault="00647E3C" w:rsidP="0073368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9D1147">
                              <w:rPr>
                                <w:rFonts w:ascii="Arial" w:hAnsi="Arial" w:cs="Arial"/>
                              </w:rPr>
                              <w:t>What kind of partnership arrangement is appropriate – how formal does it need to be?</w:t>
                            </w:r>
                          </w:p>
                          <w:p w:rsidR="00647E3C" w:rsidRPr="009D1147" w:rsidRDefault="00647E3C" w:rsidP="0073368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9D1147">
                              <w:rPr>
                                <w:rFonts w:ascii="Arial" w:hAnsi="Arial" w:cs="Arial"/>
                              </w:rPr>
                              <w:t>Structure and governance</w:t>
                            </w:r>
                          </w:p>
                          <w:p w:rsidR="00647E3C" w:rsidRDefault="00647E3C" w:rsidP="0073368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9D1147">
                              <w:rPr>
                                <w:rFonts w:ascii="Arial" w:hAnsi="Arial" w:cs="Arial"/>
                              </w:rPr>
                              <w:t xml:space="preserve">Legalities </w:t>
                            </w:r>
                          </w:p>
                          <w:p w:rsidR="00647E3C" w:rsidRPr="009D1147" w:rsidRDefault="00647E3C" w:rsidP="0073368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9D1147">
                              <w:rPr>
                                <w:rFonts w:ascii="Arial" w:hAnsi="Arial" w:cs="Arial"/>
                              </w:rPr>
                              <w:t xml:space="preserve">Scope – place planning; who </w:t>
                            </w:r>
                            <w:r>
                              <w:rPr>
                                <w:rFonts w:ascii="Arial" w:hAnsi="Arial" w:cs="Arial"/>
                              </w:rPr>
                              <w:t>offers what; marketing; pricing</w:t>
                            </w:r>
                            <w:r w:rsidRPr="009D1147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647E3C" w:rsidRPr="009D1147" w:rsidRDefault="00647E3C" w:rsidP="0073368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9D1147">
                              <w:rPr>
                                <w:rFonts w:ascii="Arial" w:hAnsi="Arial" w:cs="Arial"/>
                              </w:rPr>
                              <w:t xml:space="preserve">Working together </w:t>
                            </w:r>
                          </w:p>
                          <w:p w:rsidR="00647E3C" w:rsidRDefault="00647E3C" w:rsidP="00733682">
                            <w:pPr>
                              <w:pStyle w:val="ListParagraph"/>
                            </w:pPr>
                          </w:p>
                          <w:p w:rsidR="00647E3C" w:rsidRDefault="00647E3C" w:rsidP="007336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.25pt;margin-top:94pt;width:417pt;height:18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">
                <v:textbox>
                  <w:txbxContent>
                    <w:p w:rsidR="00647E3C" w:rsidRPr="009D1147" w:rsidRDefault="00647E3C" w:rsidP="00733682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9D1147">
                        <w:rPr>
                          <w:rFonts w:ascii="Arial" w:hAnsi="Arial" w:cs="Arial"/>
                          <w:b/>
                        </w:rPr>
                        <w:t>Key issues to consider:</w:t>
                      </w:r>
                    </w:p>
                    <w:p w:rsidR="00647E3C" w:rsidRPr="009D1147" w:rsidRDefault="00647E3C" w:rsidP="0073368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</w:rPr>
                      </w:pPr>
                      <w:r w:rsidRPr="009D1147">
                        <w:rPr>
                          <w:rFonts w:ascii="Arial" w:hAnsi="Arial" w:cs="Arial"/>
                        </w:rPr>
                        <w:t>Identifying aims and objectives</w:t>
                      </w:r>
                    </w:p>
                    <w:p w:rsidR="00647E3C" w:rsidRPr="009D1147" w:rsidRDefault="00647E3C" w:rsidP="0073368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</w:rPr>
                      </w:pPr>
                      <w:r w:rsidRPr="009D1147">
                        <w:rPr>
                          <w:rFonts w:ascii="Arial" w:hAnsi="Arial" w:cs="Arial"/>
                        </w:rPr>
                        <w:t>Who is involved and is the partnership open to expansion?</w:t>
                      </w:r>
                    </w:p>
                    <w:p w:rsidR="00647E3C" w:rsidRPr="009D1147" w:rsidRDefault="00647E3C" w:rsidP="0073368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</w:rPr>
                      </w:pPr>
                      <w:r w:rsidRPr="009D1147">
                        <w:rPr>
                          <w:rFonts w:ascii="Arial" w:hAnsi="Arial" w:cs="Arial"/>
                        </w:rPr>
                        <w:t>Is a Lead Partner needed?</w:t>
                      </w:r>
                    </w:p>
                    <w:p w:rsidR="00647E3C" w:rsidRPr="009D1147" w:rsidRDefault="00647E3C" w:rsidP="0073368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</w:rPr>
                      </w:pPr>
                      <w:r w:rsidRPr="009D1147">
                        <w:rPr>
                          <w:rFonts w:ascii="Arial" w:hAnsi="Arial" w:cs="Arial"/>
                        </w:rPr>
                        <w:t>What kind of partnership arrangement is appropriate – how formal does it need to be?</w:t>
                      </w:r>
                    </w:p>
                    <w:p w:rsidR="00647E3C" w:rsidRPr="009D1147" w:rsidRDefault="00647E3C" w:rsidP="0073368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</w:rPr>
                      </w:pPr>
                      <w:r w:rsidRPr="009D1147">
                        <w:rPr>
                          <w:rFonts w:ascii="Arial" w:hAnsi="Arial" w:cs="Arial"/>
                        </w:rPr>
                        <w:t>Structure and governance</w:t>
                      </w:r>
                    </w:p>
                    <w:p w:rsidR="00647E3C" w:rsidRDefault="00647E3C" w:rsidP="0073368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</w:rPr>
                      </w:pPr>
                      <w:r w:rsidRPr="009D1147">
                        <w:rPr>
                          <w:rFonts w:ascii="Arial" w:hAnsi="Arial" w:cs="Arial"/>
                        </w:rPr>
                        <w:t xml:space="preserve">Legalities </w:t>
                      </w:r>
                    </w:p>
                    <w:p w:rsidR="00647E3C" w:rsidRPr="009D1147" w:rsidRDefault="00647E3C" w:rsidP="0073368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</w:rPr>
                      </w:pPr>
                      <w:r w:rsidRPr="009D1147">
                        <w:rPr>
                          <w:rFonts w:ascii="Arial" w:hAnsi="Arial" w:cs="Arial"/>
                        </w:rPr>
                        <w:t xml:space="preserve">Scope – place planning; who </w:t>
                      </w:r>
                      <w:r>
                        <w:rPr>
                          <w:rFonts w:ascii="Arial" w:hAnsi="Arial" w:cs="Arial"/>
                        </w:rPr>
                        <w:t>offers what; marketing; pricing</w:t>
                      </w:r>
                      <w:r w:rsidRPr="009D1147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647E3C" w:rsidRPr="009D1147" w:rsidRDefault="00647E3C" w:rsidP="0073368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</w:rPr>
                      </w:pPr>
                      <w:r w:rsidRPr="009D1147">
                        <w:rPr>
                          <w:rFonts w:ascii="Arial" w:hAnsi="Arial" w:cs="Arial"/>
                        </w:rPr>
                        <w:t xml:space="preserve">Working together </w:t>
                      </w:r>
                    </w:p>
                    <w:p w:rsidR="00647E3C" w:rsidRDefault="00647E3C" w:rsidP="00733682">
                      <w:pPr>
                        <w:pStyle w:val="ListParagraph"/>
                      </w:pPr>
                    </w:p>
                    <w:p w:rsidR="00647E3C" w:rsidRDefault="00647E3C" w:rsidP="00733682"/>
                  </w:txbxContent>
                </v:textbox>
                <w10:wrap type="square"/>
              </v:shape>
            </w:pict>
          </mc:Fallback>
        </mc:AlternateContent>
      </w:r>
      <w:r w:rsidR="00733682">
        <w:rPr>
          <w:rFonts w:ascii="Arial" w:hAnsi="Arial" w:cs="Arial"/>
        </w:rPr>
        <w:t xml:space="preserve">The arrangements should reflect the level of commitment being made by the partners. A detailed legal agreement will be needed if the partnership wishes to enter into any contractual relationships </w:t>
      </w:r>
      <w:r>
        <w:rPr>
          <w:rFonts w:ascii="Arial" w:hAnsi="Arial" w:cs="Arial"/>
        </w:rPr>
        <w:t>(more information can be found in the</w:t>
      </w:r>
      <w:r w:rsidRPr="009D1147">
        <w:rPr>
          <w:rFonts w:ascii="Arial" w:hAnsi="Arial" w:cs="Arial"/>
        </w:rPr>
        <w:t xml:space="preserve"> </w:t>
      </w:r>
      <w:hyperlink r:id="rId12" w:history="1">
        <w:r w:rsidR="00733682" w:rsidRPr="00647E3C">
          <w:rPr>
            <w:rStyle w:val="Hyperlink"/>
            <w:rFonts w:ascii="Arial" w:hAnsi="Arial" w:cs="Arial"/>
            <w:b/>
          </w:rPr>
          <w:t>Legalities</w:t>
        </w:r>
      </w:hyperlink>
      <w:r>
        <w:rPr>
          <w:rFonts w:ascii="Arial" w:hAnsi="Arial" w:cs="Arial"/>
          <w:b/>
          <w:color w:val="350DE1"/>
        </w:rPr>
        <w:t xml:space="preserve"> </w:t>
      </w:r>
      <w:r>
        <w:rPr>
          <w:rFonts w:ascii="Arial" w:hAnsi="Arial" w:cs="Arial"/>
        </w:rPr>
        <w:t>section of this toolkit</w:t>
      </w:r>
      <w:r w:rsidR="00733682" w:rsidRPr="009D1147">
        <w:rPr>
          <w:rFonts w:ascii="Arial" w:hAnsi="Arial" w:cs="Arial"/>
        </w:rPr>
        <w:t>)</w:t>
      </w:r>
      <w:r w:rsidR="00733682" w:rsidRPr="009D1147">
        <w:rPr>
          <w:rFonts w:ascii="Arial" w:hAnsi="Arial" w:cs="Arial"/>
          <w:b/>
          <w:color w:val="350DE1"/>
        </w:rPr>
        <w:t>;</w:t>
      </w:r>
      <w:r w:rsidR="00733682" w:rsidRPr="009D1147">
        <w:rPr>
          <w:rFonts w:ascii="Arial" w:hAnsi="Arial" w:cs="Arial"/>
          <w:i/>
          <w:color w:val="350DE1"/>
        </w:rPr>
        <w:t xml:space="preserve"> </w:t>
      </w:r>
      <w:r w:rsidR="00733682">
        <w:rPr>
          <w:rFonts w:ascii="Arial" w:hAnsi="Arial" w:cs="Arial"/>
        </w:rPr>
        <w:t xml:space="preserve">in other circumstances a </w:t>
      </w:r>
      <w:hyperlink r:id="rId13" w:history="1">
        <w:r w:rsidR="00733682" w:rsidRPr="0067145E">
          <w:rPr>
            <w:rStyle w:val="Hyperlink"/>
            <w:rFonts w:ascii="Arial" w:hAnsi="Arial" w:cs="Arial"/>
            <w:b/>
          </w:rPr>
          <w:t>Memorandum of Understanding</w:t>
        </w:r>
      </w:hyperlink>
      <w:r w:rsidR="00733682" w:rsidRPr="00804D94">
        <w:rPr>
          <w:rFonts w:ascii="Arial" w:hAnsi="Arial" w:cs="Arial"/>
          <w:color w:val="0070C0"/>
        </w:rPr>
        <w:t xml:space="preserve"> </w:t>
      </w:r>
      <w:r w:rsidR="00733682">
        <w:rPr>
          <w:rFonts w:ascii="Arial" w:hAnsi="Arial" w:cs="Arial"/>
        </w:rPr>
        <w:t xml:space="preserve">or </w:t>
      </w:r>
      <w:hyperlink r:id="rId14" w:history="1">
        <w:r w:rsidR="00733682" w:rsidRPr="0067145E">
          <w:rPr>
            <w:rStyle w:val="Hyperlink"/>
            <w:rFonts w:ascii="Arial" w:hAnsi="Arial" w:cs="Arial"/>
            <w:b/>
          </w:rPr>
          <w:t>Service Level Agreement</w:t>
        </w:r>
      </w:hyperlink>
      <w:r w:rsidR="00733682" w:rsidRPr="009D1147">
        <w:rPr>
          <w:rFonts w:ascii="Arial" w:hAnsi="Arial" w:cs="Arial"/>
          <w:color w:val="350DE1"/>
        </w:rPr>
        <w:t xml:space="preserve"> </w:t>
      </w:r>
      <w:r w:rsidR="00733682">
        <w:rPr>
          <w:rFonts w:ascii="Arial" w:hAnsi="Arial" w:cs="Arial"/>
        </w:rPr>
        <w:t>may be appropriate.</w:t>
      </w:r>
    </w:p>
    <w:sectPr w:rsidR="00A351D8" w:rsidSect="00D14F89">
      <w:headerReference w:type="default" r:id="rId15"/>
      <w:footerReference w:type="default" r:id="rId16"/>
      <w:pgSz w:w="11906" w:h="16838"/>
      <w:pgMar w:top="1440" w:right="1440" w:bottom="1440" w:left="1440" w:header="56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E3C" w:rsidRDefault="00647E3C" w:rsidP="00C257CE">
      <w:pPr>
        <w:spacing w:after="0" w:line="240" w:lineRule="auto"/>
      </w:pPr>
      <w:r>
        <w:separator/>
      </w:r>
    </w:p>
  </w:endnote>
  <w:endnote w:type="continuationSeparator" w:id="0">
    <w:p w:rsidR="00647E3C" w:rsidRDefault="00647E3C" w:rsidP="00C25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46624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47E3C" w:rsidRDefault="00647E3C" w:rsidP="00D14F8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209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47E3C" w:rsidRDefault="00647E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E3C" w:rsidRDefault="00647E3C" w:rsidP="00C257CE">
      <w:pPr>
        <w:spacing w:after="0" w:line="240" w:lineRule="auto"/>
      </w:pPr>
      <w:r>
        <w:separator/>
      </w:r>
    </w:p>
  </w:footnote>
  <w:footnote w:type="continuationSeparator" w:id="0">
    <w:p w:rsidR="00647E3C" w:rsidRDefault="00647E3C" w:rsidP="00C25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E3C" w:rsidRDefault="00647E3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1" layoutInCell="1" allowOverlap="1" wp14:anchorId="07E02F44" wp14:editId="3E820AE3">
          <wp:simplePos x="0" y="0"/>
          <wp:positionH relativeFrom="page">
            <wp:posOffset>419100</wp:posOffset>
          </wp:positionH>
          <wp:positionV relativeFrom="page">
            <wp:posOffset>447675</wp:posOffset>
          </wp:positionV>
          <wp:extent cx="2132965" cy="476250"/>
          <wp:effectExtent l="0" t="0" r="635" b="0"/>
          <wp:wrapNone/>
          <wp:docPr id="2" name="Picture 73" descr="Description: F&amp;CT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3" descr="Description: F&amp;CT logo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9355"/>
                  <a:stretch/>
                </pic:blipFill>
                <pic:spPr bwMode="auto">
                  <a:xfrm>
                    <a:off x="0" y="0"/>
                    <a:ext cx="213296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rPr>
        <w:rFonts w:ascii="Calibri" w:hAnsi="Calibri"/>
        <w:noProof/>
        <w:lang w:eastAsia="en-GB"/>
      </w:rPr>
      <w:drawing>
        <wp:inline distT="0" distB="0" distL="0" distR="0" wp14:anchorId="1DE86F5F" wp14:editId="79055F3B">
          <wp:extent cx="1092200" cy="671825"/>
          <wp:effectExtent l="0" t="0" r="0" b="0"/>
          <wp:docPr id="1" name="Picture 74" descr="Department for Education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Picture 74" descr="Department for Education" title="Logo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3" r="38062" b="23010"/>
                  <a:stretch/>
                </pic:blipFill>
                <pic:spPr bwMode="auto">
                  <a:xfrm>
                    <a:off x="0" y="0"/>
                    <a:ext cx="1092200" cy="6711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C171E"/>
    <w:multiLevelType w:val="hybridMultilevel"/>
    <w:tmpl w:val="AA54D530"/>
    <w:lvl w:ilvl="0" w:tplc="374E3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40EEC"/>
    <w:multiLevelType w:val="hybridMultilevel"/>
    <w:tmpl w:val="4374390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DA465B"/>
    <w:multiLevelType w:val="hybridMultilevel"/>
    <w:tmpl w:val="932ED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682"/>
    <w:rsid w:val="00266721"/>
    <w:rsid w:val="002C391F"/>
    <w:rsid w:val="00467FF7"/>
    <w:rsid w:val="00647E3C"/>
    <w:rsid w:val="006515F7"/>
    <w:rsid w:val="0067145E"/>
    <w:rsid w:val="00733682"/>
    <w:rsid w:val="00804D94"/>
    <w:rsid w:val="008563B3"/>
    <w:rsid w:val="008A4D3C"/>
    <w:rsid w:val="009D1147"/>
    <w:rsid w:val="00A351D8"/>
    <w:rsid w:val="00B11CA6"/>
    <w:rsid w:val="00BA2092"/>
    <w:rsid w:val="00C257CE"/>
    <w:rsid w:val="00D1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682"/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3682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368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257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57CE"/>
    <w:rPr>
      <w:rFonts w:asciiTheme="minorHAnsi" w:hAnsiTheme="minorHAnsi" w:cstheme="minorBidi"/>
    </w:rPr>
  </w:style>
  <w:style w:type="paragraph" w:styleId="Footer">
    <w:name w:val="footer"/>
    <w:basedOn w:val="Normal"/>
    <w:link w:val="FooterChar"/>
    <w:uiPriority w:val="99"/>
    <w:unhideWhenUsed/>
    <w:rsid w:val="00C257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57CE"/>
    <w:rPr>
      <w:rFonts w:ascii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4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F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682"/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3682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368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257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57CE"/>
    <w:rPr>
      <w:rFonts w:asciiTheme="minorHAnsi" w:hAnsiTheme="minorHAnsi" w:cstheme="minorBidi"/>
    </w:rPr>
  </w:style>
  <w:style w:type="paragraph" w:styleId="Footer">
    <w:name w:val="footer"/>
    <w:basedOn w:val="Normal"/>
    <w:link w:val="FooterChar"/>
    <w:uiPriority w:val="99"/>
    <w:unhideWhenUsed/>
    <w:rsid w:val="00C257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57CE"/>
    <w:rPr>
      <w:rFonts w:ascii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4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F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milyandchildcaretrust.org/delivery-models-dfes-30-hours-mixed-model-partnership-toolkit" TargetMode="External"/><Relationship Id="rId13" Type="http://schemas.openxmlformats.org/officeDocument/2006/relationships/hyperlink" Target="http://www.familyandchildcaretrust.org/sites/default/files/Sample%20Memorandum%20of%20Understanding.docx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familyandchildcaretrust.org/legalities-toolki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familyandchildcaretrust.org/sites/default/files/Assessing%20demand%20guidance%20for%20providers.docx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familyandchildcaretrust.org/sites/default/files/Procurement%20and%20partnership%20arrangements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amilyandchildcaretrust.org/relationship-management-toolkit" TargetMode="External"/><Relationship Id="rId14" Type="http://schemas.openxmlformats.org/officeDocument/2006/relationships/hyperlink" Target="http://www.familyandchildcaretrust.org/sites/default/files/Sample%20Service%20level%20agreement.docx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8B480AB9</Template>
  <TotalTime>17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Dixon</dc:creator>
  <cp:lastModifiedBy>Nina Corbett</cp:lastModifiedBy>
  <cp:revision>8</cp:revision>
  <dcterms:created xsi:type="dcterms:W3CDTF">2016-11-07T12:15:00Z</dcterms:created>
  <dcterms:modified xsi:type="dcterms:W3CDTF">2016-11-23T15:35:00Z</dcterms:modified>
</cp:coreProperties>
</file>